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ABD" w:rsidRDefault="004768CF" w:rsidP="00184ABD">
      <w:pPr>
        <w:rPr>
          <w:rFonts w:ascii="宋体" w:eastAsia="宋体" w:hAnsi="宋体"/>
          <w:sz w:val="24"/>
          <w:szCs w:val="24"/>
        </w:rPr>
      </w:pPr>
      <w:r>
        <w:rPr>
          <w:rFonts w:ascii="宋体" w:eastAsia="宋体" w:hAnsi="宋体" w:hint="eastAsia"/>
          <w:sz w:val="24"/>
          <w:szCs w:val="24"/>
        </w:rPr>
        <w:t>附件</w:t>
      </w:r>
      <w:r w:rsidR="00184ABD" w:rsidRPr="00DD4681">
        <w:rPr>
          <w:rFonts w:ascii="宋体" w:eastAsia="宋体" w:hAnsi="宋体" w:hint="eastAsia"/>
          <w:sz w:val="24"/>
          <w:szCs w:val="24"/>
        </w:rPr>
        <w:t>二、评分细则</w:t>
      </w:r>
    </w:p>
    <w:p w:rsidR="004768CF" w:rsidRPr="00DD4681" w:rsidRDefault="004768CF" w:rsidP="00184ABD">
      <w:pPr>
        <w:rPr>
          <w:rFonts w:ascii="宋体" w:eastAsia="宋体" w:hAnsi="宋体" w:hint="eastAsia"/>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
        <w:gridCol w:w="1325"/>
        <w:gridCol w:w="746"/>
        <w:gridCol w:w="5245"/>
        <w:gridCol w:w="1198"/>
        <w:gridCol w:w="1039"/>
      </w:tblGrid>
      <w:tr w:rsidR="00184ABD" w:rsidRPr="00DD4681" w:rsidTr="004768CF">
        <w:trPr>
          <w:cantSplit/>
          <w:trHeight w:val="402"/>
          <w:jc w:val="center"/>
        </w:trPr>
        <w:tc>
          <w:tcPr>
            <w:tcW w:w="507" w:type="dxa"/>
            <w:vAlign w:val="center"/>
          </w:tcPr>
          <w:p w:rsidR="00184ABD" w:rsidRPr="00DD4681" w:rsidRDefault="00184ABD" w:rsidP="00CF2A6A">
            <w:pPr>
              <w:spacing w:line="400" w:lineRule="exact"/>
              <w:ind w:firstLine="28"/>
              <w:jc w:val="center"/>
              <w:rPr>
                <w:rFonts w:ascii="宋体" w:eastAsia="宋体" w:hAnsi="宋体" w:cs="Times New Roman"/>
                <w:b/>
                <w:sz w:val="24"/>
                <w:szCs w:val="24"/>
              </w:rPr>
            </w:pPr>
            <w:r w:rsidRPr="00DD4681">
              <w:rPr>
                <w:rFonts w:ascii="宋体" w:eastAsia="宋体" w:hAnsi="宋体" w:cs="Times New Roman" w:hint="eastAsia"/>
                <w:b/>
                <w:sz w:val="24"/>
                <w:szCs w:val="24"/>
              </w:rPr>
              <w:t>序号</w:t>
            </w:r>
          </w:p>
        </w:tc>
        <w:tc>
          <w:tcPr>
            <w:tcW w:w="1325" w:type="dxa"/>
            <w:vAlign w:val="center"/>
          </w:tcPr>
          <w:p w:rsidR="00184ABD" w:rsidRPr="00DD4681" w:rsidRDefault="00184ABD" w:rsidP="00CF2A6A">
            <w:pPr>
              <w:spacing w:line="400" w:lineRule="exact"/>
              <w:ind w:firstLine="28"/>
              <w:jc w:val="center"/>
              <w:rPr>
                <w:rFonts w:ascii="宋体" w:eastAsia="宋体" w:hAnsi="宋体" w:cs="Times New Roman"/>
                <w:b/>
                <w:sz w:val="24"/>
                <w:szCs w:val="24"/>
              </w:rPr>
            </w:pPr>
            <w:r w:rsidRPr="00DD4681">
              <w:rPr>
                <w:rFonts w:ascii="宋体" w:eastAsia="宋体" w:hAnsi="宋体" w:cs="Times New Roman" w:hint="eastAsia"/>
                <w:b/>
                <w:sz w:val="24"/>
                <w:szCs w:val="24"/>
              </w:rPr>
              <w:t>评分因素及权重</w:t>
            </w:r>
          </w:p>
        </w:tc>
        <w:tc>
          <w:tcPr>
            <w:tcW w:w="746" w:type="dxa"/>
            <w:vAlign w:val="center"/>
          </w:tcPr>
          <w:p w:rsidR="00184ABD" w:rsidRPr="00DD4681" w:rsidRDefault="00184ABD" w:rsidP="00CF2A6A">
            <w:pPr>
              <w:spacing w:line="400" w:lineRule="exact"/>
              <w:ind w:firstLine="28"/>
              <w:jc w:val="center"/>
              <w:rPr>
                <w:rFonts w:ascii="宋体" w:eastAsia="宋体" w:hAnsi="宋体" w:cs="Times New Roman"/>
                <w:b/>
                <w:sz w:val="24"/>
                <w:szCs w:val="24"/>
              </w:rPr>
            </w:pPr>
            <w:r w:rsidRPr="00DD4681">
              <w:rPr>
                <w:rFonts w:ascii="宋体" w:eastAsia="宋体" w:hAnsi="宋体" w:cs="Times New Roman" w:hint="eastAsia"/>
                <w:b/>
                <w:sz w:val="24"/>
                <w:szCs w:val="24"/>
              </w:rPr>
              <w:t>分值</w:t>
            </w:r>
          </w:p>
        </w:tc>
        <w:tc>
          <w:tcPr>
            <w:tcW w:w="5245" w:type="dxa"/>
            <w:vAlign w:val="center"/>
          </w:tcPr>
          <w:p w:rsidR="00184ABD" w:rsidRPr="00DD4681" w:rsidRDefault="00184ABD" w:rsidP="00CF2A6A">
            <w:pPr>
              <w:spacing w:line="400" w:lineRule="exact"/>
              <w:ind w:firstLine="28"/>
              <w:jc w:val="center"/>
              <w:rPr>
                <w:rFonts w:ascii="宋体" w:eastAsia="宋体" w:hAnsi="宋体" w:cs="Times New Roman"/>
                <w:b/>
                <w:sz w:val="24"/>
                <w:szCs w:val="24"/>
              </w:rPr>
            </w:pPr>
            <w:r w:rsidRPr="00DD4681">
              <w:rPr>
                <w:rFonts w:ascii="宋体" w:eastAsia="宋体" w:hAnsi="宋体" w:cs="Times New Roman" w:hint="eastAsia"/>
                <w:b/>
                <w:sz w:val="24"/>
                <w:szCs w:val="24"/>
              </w:rPr>
              <w:t>评分标准</w:t>
            </w:r>
          </w:p>
        </w:tc>
        <w:tc>
          <w:tcPr>
            <w:tcW w:w="1198" w:type="dxa"/>
            <w:vAlign w:val="center"/>
          </w:tcPr>
          <w:p w:rsidR="00184ABD" w:rsidRPr="00DD4681" w:rsidRDefault="00184ABD" w:rsidP="00CF2A6A">
            <w:pPr>
              <w:spacing w:line="400" w:lineRule="exact"/>
              <w:ind w:firstLine="28"/>
              <w:jc w:val="center"/>
              <w:rPr>
                <w:rFonts w:ascii="宋体" w:eastAsia="宋体" w:hAnsi="宋体" w:cs="Times New Roman"/>
                <w:b/>
                <w:sz w:val="24"/>
                <w:szCs w:val="24"/>
              </w:rPr>
            </w:pPr>
            <w:r w:rsidRPr="00DD4681">
              <w:rPr>
                <w:rFonts w:ascii="宋体" w:eastAsia="宋体" w:hAnsi="宋体" w:cs="Times New Roman" w:hint="eastAsia"/>
                <w:b/>
                <w:sz w:val="24"/>
                <w:szCs w:val="24"/>
              </w:rPr>
              <w:t>说明</w:t>
            </w:r>
          </w:p>
        </w:tc>
        <w:tc>
          <w:tcPr>
            <w:tcW w:w="1039" w:type="dxa"/>
            <w:vAlign w:val="center"/>
          </w:tcPr>
          <w:p w:rsidR="00184ABD" w:rsidRPr="00DD4681" w:rsidRDefault="00184ABD" w:rsidP="00CF2A6A">
            <w:pPr>
              <w:spacing w:line="400" w:lineRule="exact"/>
              <w:ind w:firstLine="28"/>
              <w:jc w:val="center"/>
              <w:rPr>
                <w:rFonts w:ascii="宋体" w:eastAsia="宋体" w:hAnsi="宋体" w:cs="Times New Roman"/>
                <w:b/>
                <w:sz w:val="24"/>
                <w:szCs w:val="24"/>
              </w:rPr>
            </w:pPr>
            <w:r w:rsidRPr="00DD4681">
              <w:rPr>
                <w:rFonts w:ascii="宋体" w:eastAsia="宋体" w:hAnsi="宋体" w:cs="Times New Roman" w:hint="eastAsia"/>
                <w:b/>
                <w:sz w:val="24"/>
                <w:szCs w:val="24"/>
              </w:rPr>
              <w:t>评审类别</w:t>
            </w:r>
          </w:p>
        </w:tc>
      </w:tr>
      <w:tr w:rsidR="00184ABD" w:rsidRPr="00DD4681" w:rsidTr="004768CF">
        <w:trPr>
          <w:cantSplit/>
          <w:trHeight w:val="402"/>
          <w:jc w:val="center"/>
        </w:trPr>
        <w:tc>
          <w:tcPr>
            <w:tcW w:w="507" w:type="dxa"/>
            <w:vAlign w:val="center"/>
          </w:tcPr>
          <w:p w:rsidR="00184ABD" w:rsidRPr="00DD4681" w:rsidRDefault="00184ABD" w:rsidP="00CF2A6A">
            <w:pPr>
              <w:jc w:val="center"/>
              <w:rPr>
                <w:rFonts w:ascii="宋体" w:eastAsia="宋体" w:hAnsi="宋体" w:cs="Times New Roman"/>
                <w:sz w:val="24"/>
                <w:szCs w:val="24"/>
              </w:rPr>
            </w:pPr>
            <w:r w:rsidRPr="00DD4681">
              <w:rPr>
                <w:rFonts w:ascii="宋体" w:eastAsia="宋体" w:hAnsi="宋体" w:cs="Times New Roman" w:hint="eastAsia"/>
                <w:sz w:val="24"/>
                <w:szCs w:val="24"/>
              </w:rPr>
              <w:t>1</w:t>
            </w:r>
          </w:p>
        </w:tc>
        <w:tc>
          <w:tcPr>
            <w:tcW w:w="1325" w:type="dxa"/>
            <w:vAlign w:val="center"/>
          </w:tcPr>
          <w:p w:rsidR="004768CF" w:rsidRDefault="00184ABD" w:rsidP="00CF2A6A">
            <w:pPr>
              <w:spacing w:line="380" w:lineRule="exact"/>
              <w:jc w:val="center"/>
              <w:rPr>
                <w:rFonts w:ascii="宋体" w:eastAsia="宋体" w:hAnsi="宋体" w:cs="宋体"/>
                <w:bCs/>
                <w:sz w:val="24"/>
                <w:szCs w:val="24"/>
              </w:rPr>
            </w:pPr>
            <w:r w:rsidRPr="00DD4681">
              <w:rPr>
                <w:rFonts w:ascii="宋体" w:eastAsia="宋体" w:hAnsi="宋体" w:cs="宋体" w:hint="eastAsia"/>
                <w:bCs/>
                <w:sz w:val="24"/>
                <w:szCs w:val="24"/>
              </w:rPr>
              <w:t>价格</w:t>
            </w:r>
          </w:p>
          <w:p w:rsidR="00184ABD" w:rsidRPr="00DD4681" w:rsidRDefault="00184ABD" w:rsidP="00CF2A6A">
            <w:pPr>
              <w:spacing w:line="380" w:lineRule="exact"/>
              <w:jc w:val="center"/>
              <w:rPr>
                <w:rFonts w:ascii="宋体" w:eastAsia="宋体" w:hAnsi="宋体" w:cs="Times New Roman"/>
                <w:sz w:val="24"/>
                <w:szCs w:val="24"/>
              </w:rPr>
            </w:pPr>
            <w:r w:rsidRPr="00DD4681">
              <w:rPr>
                <w:rFonts w:ascii="宋体" w:eastAsia="宋体" w:hAnsi="宋体" w:cs="宋体" w:hint="eastAsia"/>
                <w:bCs/>
                <w:sz w:val="24"/>
                <w:szCs w:val="24"/>
              </w:rPr>
              <w:t>20%</w:t>
            </w:r>
          </w:p>
        </w:tc>
        <w:tc>
          <w:tcPr>
            <w:tcW w:w="746" w:type="dxa"/>
            <w:vAlign w:val="center"/>
          </w:tcPr>
          <w:p w:rsidR="00184ABD" w:rsidRPr="00DD4681" w:rsidRDefault="00184ABD" w:rsidP="00CF2A6A">
            <w:pPr>
              <w:spacing w:line="380" w:lineRule="exact"/>
              <w:jc w:val="center"/>
              <w:rPr>
                <w:rFonts w:ascii="宋体" w:eastAsia="宋体" w:hAnsi="宋体" w:cs="Times New Roman"/>
                <w:sz w:val="24"/>
                <w:szCs w:val="24"/>
              </w:rPr>
            </w:pPr>
            <w:r w:rsidRPr="00DD4681">
              <w:rPr>
                <w:rFonts w:ascii="宋体" w:eastAsia="宋体" w:hAnsi="宋体" w:cs="宋体" w:hint="eastAsia"/>
                <w:bCs/>
                <w:sz w:val="24"/>
                <w:szCs w:val="24"/>
              </w:rPr>
              <w:t>20分</w:t>
            </w:r>
          </w:p>
        </w:tc>
        <w:tc>
          <w:tcPr>
            <w:tcW w:w="5245" w:type="dxa"/>
            <w:vAlign w:val="center"/>
          </w:tcPr>
          <w:p w:rsidR="00184ABD" w:rsidRPr="00B66D62" w:rsidRDefault="00E512C5" w:rsidP="004768CF">
            <w:pPr>
              <w:spacing w:line="380" w:lineRule="exact"/>
              <w:ind w:firstLineChars="100" w:firstLine="240"/>
              <w:rPr>
                <w:rFonts w:asciiTheme="minorEastAsia" w:hAnsiTheme="minorEastAsia" w:cs="Times New Roman"/>
                <w:sz w:val="24"/>
                <w:szCs w:val="24"/>
              </w:rPr>
            </w:pPr>
            <w:r w:rsidRPr="00B66D62">
              <w:rPr>
                <w:rFonts w:asciiTheme="minorEastAsia" w:hAnsiTheme="minorEastAsia" w:cs="仿宋" w:hint="eastAsia"/>
                <w:sz w:val="24"/>
                <w:szCs w:val="24"/>
              </w:rPr>
              <w:t>以有效的最低投标价为基准价</w:t>
            </w:r>
            <w:r w:rsidR="004768CF">
              <w:rPr>
                <w:rFonts w:asciiTheme="minorEastAsia" w:hAnsiTheme="minorEastAsia" w:cs="仿宋" w:hint="eastAsia"/>
                <w:sz w:val="24"/>
                <w:szCs w:val="24"/>
              </w:rPr>
              <w:t>，</w:t>
            </w:r>
            <w:r w:rsidRPr="00B66D62">
              <w:rPr>
                <w:rFonts w:asciiTheme="minorEastAsia" w:hAnsiTheme="minorEastAsia" w:cs="仿宋" w:hint="eastAsia"/>
                <w:sz w:val="24"/>
                <w:szCs w:val="24"/>
              </w:rPr>
              <w:t>投标报价得分=(基准价／投标人的报价) ×20。</w:t>
            </w:r>
          </w:p>
        </w:tc>
        <w:tc>
          <w:tcPr>
            <w:tcW w:w="1198" w:type="dxa"/>
            <w:vAlign w:val="center"/>
          </w:tcPr>
          <w:p w:rsidR="00184ABD" w:rsidRPr="00DD4681" w:rsidRDefault="00184ABD" w:rsidP="00CF2A6A">
            <w:pPr>
              <w:spacing w:line="360" w:lineRule="auto"/>
              <w:rPr>
                <w:rFonts w:ascii="宋体" w:eastAsia="宋体" w:hAnsi="宋体" w:cs="Times New Roman"/>
                <w:sz w:val="24"/>
                <w:szCs w:val="24"/>
              </w:rPr>
            </w:pPr>
          </w:p>
        </w:tc>
        <w:tc>
          <w:tcPr>
            <w:tcW w:w="1039" w:type="dxa"/>
            <w:vAlign w:val="center"/>
          </w:tcPr>
          <w:p w:rsidR="00184ABD" w:rsidRPr="00DD4681" w:rsidRDefault="00184ABD" w:rsidP="00CF2A6A">
            <w:pPr>
              <w:spacing w:line="360" w:lineRule="auto"/>
              <w:jc w:val="center"/>
              <w:rPr>
                <w:rFonts w:ascii="宋体" w:eastAsia="宋体" w:hAnsi="宋体" w:cs="Times New Roman"/>
                <w:sz w:val="24"/>
                <w:szCs w:val="24"/>
              </w:rPr>
            </w:pPr>
            <w:r w:rsidRPr="00DD4681">
              <w:rPr>
                <w:rFonts w:ascii="宋体" w:eastAsia="宋体" w:hAnsi="宋体" w:cs="Times New Roman" w:hint="eastAsia"/>
                <w:sz w:val="24"/>
                <w:szCs w:val="24"/>
              </w:rPr>
              <w:t>共同评审因素</w:t>
            </w:r>
          </w:p>
        </w:tc>
      </w:tr>
      <w:tr w:rsidR="002C14B2" w:rsidRPr="00DD4681" w:rsidTr="004768CF">
        <w:trPr>
          <w:cantSplit/>
          <w:trHeight w:val="61"/>
          <w:jc w:val="center"/>
        </w:trPr>
        <w:tc>
          <w:tcPr>
            <w:tcW w:w="507" w:type="dxa"/>
            <w:vMerge w:val="restart"/>
            <w:vAlign w:val="center"/>
          </w:tcPr>
          <w:p w:rsidR="002C14B2" w:rsidRPr="00DD4681" w:rsidRDefault="002C14B2" w:rsidP="00CF2A6A">
            <w:pPr>
              <w:jc w:val="center"/>
              <w:rPr>
                <w:rFonts w:ascii="宋体" w:eastAsia="宋体" w:hAnsi="宋体" w:cs="Times New Roman"/>
                <w:sz w:val="24"/>
                <w:szCs w:val="24"/>
              </w:rPr>
            </w:pPr>
            <w:r w:rsidRPr="00DD4681">
              <w:rPr>
                <w:rFonts w:ascii="宋体" w:eastAsia="宋体" w:hAnsi="宋体" w:cs="Times New Roman" w:hint="eastAsia"/>
                <w:sz w:val="24"/>
                <w:szCs w:val="24"/>
              </w:rPr>
              <w:t>2</w:t>
            </w:r>
          </w:p>
        </w:tc>
        <w:tc>
          <w:tcPr>
            <w:tcW w:w="1325" w:type="dxa"/>
            <w:vAlign w:val="center"/>
          </w:tcPr>
          <w:p w:rsidR="002C14B2" w:rsidRPr="00DD4681" w:rsidRDefault="002C14B2" w:rsidP="002C14B2">
            <w:pPr>
              <w:jc w:val="center"/>
              <w:rPr>
                <w:rFonts w:ascii="宋体" w:eastAsia="宋体" w:hAnsi="宋体" w:cs="Times New Roman"/>
                <w:sz w:val="24"/>
                <w:szCs w:val="24"/>
              </w:rPr>
            </w:pPr>
            <w:r w:rsidRPr="00DD4681">
              <w:rPr>
                <w:rFonts w:ascii="宋体" w:eastAsia="宋体" w:hAnsi="宋体" w:cs="Times New Roman" w:hint="eastAsia"/>
                <w:sz w:val="24"/>
                <w:szCs w:val="24"/>
              </w:rPr>
              <w:t>技术参数响应程度</w:t>
            </w:r>
            <w:r>
              <w:rPr>
                <w:rFonts w:ascii="宋体" w:eastAsia="宋体" w:hAnsi="宋体" w:cs="Times New Roman" w:hint="eastAsia"/>
                <w:sz w:val="24"/>
                <w:szCs w:val="24"/>
              </w:rPr>
              <w:t>25</w:t>
            </w:r>
            <w:r w:rsidRPr="00DD4681">
              <w:rPr>
                <w:rFonts w:ascii="宋体" w:eastAsia="宋体" w:hAnsi="宋体" w:cs="Times New Roman" w:hint="eastAsia"/>
                <w:sz w:val="24"/>
                <w:szCs w:val="24"/>
              </w:rPr>
              <w:t>%</w:t>
            </w:r>
          </w:p>
        </w:tc>
        <w:tc>
          <w:tcPr>
            <w:tcW w:w="746" w:type="dxa"/>
            <w:vAlign w:val="center"/>
          </w:tcPr>
          <w:p w:rsidR="002C14B2" w:rsidRPr="00DD4681" w:rsidRDefault="002C14B2" w:rsidP="00C7450F">
            <w:pPr>
              <w:spacing w:line="380" w:lineRule="exact"/>
              <w:rPr>
                <w:rFonts w:ascii="宋体" w:eastAsia="宋体" w:hAnsi="宋体" w:cs="宋体"/>
                <w:bCs/>
                <w:sz w:val="24"/>
                <w:szCs w:val="24"/>
              </w:rPr>
            </w:pPr>
            <w:r>
              <w:rPr>
                <w:rFonts w:ascii="宋体" w:eastAsia="宋体" w:hAnsi="宋体" w:cs="宋体" w:hint="eastAsia"/>
                <w:bCs/>
                <w:sz w:val="24"/>
                <w:szCs w:val="24"/>
              </w:rPr>
              <w:t>25</w:t>
            </w:r>
            <w:r w:rsidRPr="00DD4681">
              <w:rPr>
                <w:rFonts w:ascii="宋体" w:eastAsia="宋体" w:hAnsi="宋体" w:cs="宋体" w:hint="eastAsia"/>
                <w:bCs/>
                <w:sz w:val="24"/>
                <w:szCs w:val="24"/>
              </w:rPr>
              <w:t>分</w:t>
            </w:r>
          </w:p>
        </w:tc>
        <w:tc>
          <w:tcPr>
            <w:tcW w:w="5245" w:type="dxa"/>
            <w:vAlign w:val="center"/>
          </w:tcPr>
          <w:p w:rsidR="002C14B2" w:rsidRPr="00DD4681" w:rsidRDefault="002C14B2" w:rsidP="004768CF">
            <w:pPr>
              <w:spacing w:line="380" w:lineRule="exact"/>
              <w:ind w:firstLineChars="100" w:firstLine="240"/>
              <w:rPr>
                <w:rFonts w:ascii="宋体" w:eastAsia="宋体" w:hAnsi="宋体" w:cs="宋体"/>
                <w:sz w:val="24"/>
                <w:szCs w:val="24"/>
              </w:rPr>
            </w:pPr>
            <w:r w:rsidRPr="00DD4681">
              <w:rPr>
                <w:rFonts w:ascii="宋体" w:eastAsia="宋体" w:hAnsi="宋体" w:cs="宋体" w:hint="eastAsia"/>
                <w:sz w:val="24"/>
                <w:szCs w:val="24"/>
              </w:rPr>
              <w:t>条款响应情况，不满足一条扣2分，扣完为止。</w:t>
            </w:r>
            <w:r>
              <w:rPr>
                <w:rFonts w:ascii="宋体" w:eastAsia="宋体" w:hAnsi="宋体" w:cs="宋体" w:hint="eastAsia"/>
                <w:sz w:val="24"/>
                <w:szCs w:val="24"/>
              </w:rPr>
              <w:t xml:space="preserve"> </w:t>
            </w:r>
          </w:p>
        </w:tc>
        <w:tc>
          <w:tcPr>
            <w:tcW w:w="1198" w:type="dxa"/>
            <w:vAlign w:val="center"/>
          </w:tcPr>
          <w:p w:rsidR="002C14B2" w:rsidRPr="00DD4681" w:rsidRDefault="002C14B2" w:rsidP="00CF2A6A">
            <w:pPr>
              <w:ind w:left="-104" w:hanging="2"/>
              <w:jc w:val="center"/>
              <w:rPr>
                <w:rFonts w:ascii="宋体" w:eastAsia="宋体" w:hAnsi="宋体" w:cs="Times New Roman"/>
                <w:sz w:val="24"/>
                <w:szCs w:val="24"/>
              </w:rPr>
            </w:pPr>
          </w:p>
        </w:tc>
        <w:tc>
          <w:tcPr>
            <w:tcW w:w="1039" w:type="dxa"/>
            <w:vMerge w:val="restart"/>
            <w:vAlign w:val="center"/>
          </w:tcPr>
          <w:p w:rsidR="002C14B2" w:rsidRPr="00DD4681" w:rsidRDefault="002C14B2" w:rsidP="00CF2A6A">
            <w:pPr>
              <w:ind w:left="-104" w:hanging="2"/>
              <w:jc w:val="center"/>
              <w:rPr>
                <w:rFonts w:ascii="宋体" w:eastAsia="宋体" w:hAnsi="宋体" w:cs="Times New Roman"/>
                <w:sz w:val="24"/>
                <w:szCs w:val="24"/>
              </w:rPr>
            </w:pPr>
            <w:r w:rsidRPr="00DD4681">
              <w:rPr>
                <w:rFonts w:ascii="宋体" w:eastAsia="宋体" w:hAnsi="宋体" w:cs="Times New Roman" w:hint="eastAsia"/>
                <w:sz w:val="24"/>
                <w:szCs w:val="24"/>
              </w:rPr>
              <w:t>技术类评审因素</w:t>
            </w:r>
          </w:p>
        </w:tc>
      </w:tr>
      <w:tr w:rsidR="002C14B2" w:rsidRPr="00DD4681" w:rsidTr="004768CF">
        <w:trPr>
          <w:cantSplit/>
          <w:trHeight w:val="61"/>
          <w:jc w:val="center"/>
        </w:trPr>
        <w:tc>
          <w:tcPr>
            <w:tcW w:w="507" w:type="dxa"/>
            <w:vMerge/>
            <w:vAlign w:val="center"/>
          </w:tcPr>
          <w:p w:rsidR="002C14B2" w:rsidRPr="00DD4681" w:rsidRDefault="002C14B2" w:rsidP="00CF2A6A">
            <w:pPr>
              <w:jc w:val="center"/>
              <w:rPr>
                <w:rFonts w:ascii="宋体" w:eastAsia="宋体" w:hAnsi="宋体" w:cs="Times New Roman"/>
                <w:sz w:val="24"/>
                <w:szCs w:val="24"/>
              </w:rPr>
            </w:pPr>
          </w:p>
        </w:tc>
        <w:tc>
          <w:tcPr>
            <w:tcW w:w="1325" w:type="dxa"/>
            <w:vMerge w:val="restart"/>
            <w:vAlign w:val="center"/>
          </w:tcPr>
          <w:p w:rsidR="002C14B2" w:rsidRPr="00DD4681" w:rsidRDefault="002C14B2" w:rsidP="00B66D62">
            <w:pPr>
              <w:jc w:val="center"/>
              <w:rPr>
                <w:rFonts w:ascii="宋体" w:eastAsia="宋体" w:hAnsi="宋体" w:cs="Times New Roman"/>
                <w:sz w:val="24"/>
                <w:szCs w:val="24"/>
              </w:rPr>
            </w:pPr>
            <w:r w:rsidRPr="00DD4681">
              <w:rPr>
                <w:rFonts w:ascii="宋体" w:eastAsia="宋体" w:hAnsi="宋体" w:cs="Times New Roman" w:hint="eastAsia"/>
                <w:sz w:val="24"/>
                <w:szCs w:val="24"/>
              </w:rPr>
              <w:t>技术演示、响应程度（服务）</w:t>
            </w:r>
            <w:r w:rsidR="00B66D62">
              <w:rPr>
                <w:rFonts w:ascii="宋体" w:eastAsia="宋体" w:hAnsi="宋体" w:cs="Times New Roman" w:hint="eastAsia"/>
                <w:sz w:val="24"/>
                <w:szCs w:val="24"/>
              </w:rPr>
              <w:t>40</w:t>
            </w:r>
            <w:r w:rsidRPr="00DD4681">
              <w:rPr>
                <w:rFonts w:ascii="宋体" w:eastAsia="宋体" w:hAnsi="宋体" w:cs="Times New Roman" w:hint="eastAsia"/>
                <w:sz w:val="24"/>
                <w:szCs w:val="24"/>
              </w:rPr>
              <w:t>%</w:t>
            </w:r>
          </w:p>
        </w:tc>
        <w:tc>
          <w:tcPr>
            <w:tcW w:w="746" w:type="dxa"/>
            <w:vAlign w:val="center"/>
          </w:tcPr>
          <w:p w:rsidR="002C14B2" w:rsidRPr="00DD4681" w:rsidRDefault="00B66D62" w:rsidP="00CF2A6A">
            <w:pPr>
              <w:spacing w:line="380" w:lineRule="exact"/>
              <w:rPr>
                <w:rFonts w:ascii="宋体" w:eastAsia="宋体" w:hAnsi="宋体" w:cs="Times New Roman"/>
                <w:sz w:val="24"/>
                <w:szCs w:val="24"/>
              </w:rPr>
            </w:pPr>
            <w:r>
              <w:rPr>
                <w:rFonts w:ascii="宋体" w:eastAsia="宋体" w:hAnsi="宋体" w:cs="宋体" w:hint="eastAsia"/>
                <w:bCs/>
                <w:sz w:val="24"/>
                <w:szCs w:val="24"/>
              </w:rPr>
              <w:t>20</w:t>
            </w:r>
            <w:r w:rsidR="002C14B2" w:rsidRPr="00DD4681">
              <w:rPr>
                <w:rFonts w:ascii="宋体" w:eastAsia="宋体" w:hAnsi="宋体" w:cs="宋体" w:hint="eastAsia"/>
                <w:bCs/>
                <w:sz w:val="24"/>
                <w:szCs w:val="24"/>
              </w:rPr>
              <w:t>分</w:t>
            </w:r>
          </w:p>
        </w:tc>
        <w:tc>
          <w:tcPr>
            <w:tcW w:w="5245" w:type="dxa"/>
            <w:vAlign w:val="center"/>
          </w:tcPr>
          <w:p w:rsidR="004768CF" w:rsidRPr="0076325A" w:rsidRDefault="004768CF" w:rsidP="004768CF">
            <w:pPr>
              <w:ind w:firstLineChars="100" w:firstLine="240"/>
              <w:rPr>
                <w:rFonts w:ascii="宋体" w:eastAsia="宋体" w:hAnsi="宋体" w:cs="宋体" w:hint="eastAsia"/>
                <w:sz w:val="24"/>
                <w:szCs w:val="24"/>
              </w:rPr>
            </w:pPr>
            <w:r>
              <w:rPr>
                <w:rFonts w:ascii="宋体" w:eastAsia="宋体" w:hAnsi="宋体" w:cs="宋体" w:hint="eastAsia"/>
                <w:sz w:val="24"/>
                <w:szCs w:val="24"/>
              </w:rPr>
              <w:t>提供</w:t>
            </w:r>
            <w:r w:rsidR="00B66D62">
              <w:rPr>
                <w:rFonts w:ascii="宋体" w:eastAsia="宋体" w:hAnsi="宋体" w:cs="宋体" w:hint="eastAsia"/>
                <w:sz w:val="24"/>
                <w:szCs w:val="24"/>
              </w:rPr>
              <w:t>检验类形态</w:t>
            </w:r>
            <w:r>
              <w:rPr>
                <w:rFonts w:ascii="宋体" w:eastAsia="宋体" w:hAnsi="宋体" w:cs="宋体" w:hint="eastAsia"/>
                <w:sz w:val="24"/>
                <w:szCs w:val="24"/>
              </w:rPr>
              <w:t>学</w:t>
            </w:r>
            <w:r w:rsidR="00B66D62">
              <w:rPr>
                <w:rFonts w:ascii="宋体" w:eastAsia="宋体" w:hAnsi="宋体" w:cs="宋体" w:hint="eastAsia"/>
                <w:sz w:val="24"/>
                <w:szCs w:val="24"/>
              </w:rPr>
              <w:t>试</w:t>
            </w:r>
            <w:proofErr w:type="gramStart"/>
            <w:r w:rsidR="00B66D62">
              <w:rPr>
                <w:rFonts w:ascii="宋体" w:eastAsia="宋体" w:hAnsi="宋体" w:cs="宋体" w:hint="eastAsia"/>
                <w:sz w:val="24"/>
                <w:szCs w:val="24"/>
              </w:rPr>
              <w:t>题</w:t>
            </w:r>
            <w:r>
              <w:rPr>
                <w:rFonts w:ascii="宋体" w:eastAsia="宋体" w:hAnsi="宋体" w:cs="宋体" w:hint="eastAsia"/>
                <w:sz w:val="24"/>
                <w:szCs w:val="24"/>
              </w:rPr>
              <w:t>库级</w:t>
            </w:r>
            <w:proofErr w:type="gramEnd"/>
            <w:r>
              <w:rPr>
                <w:rFonts w:ascii="宋体" w:eastAsia="宋体" w:hAnsi="宋体" w:cs="宋体" w:hint="eastAsia"/>
                <w:sz w:val="24"/>
                <w:szCs w:val="24"/>
              </w:rPr>
              <w:t>考试系统配音</w:t>
            </w:r>
            <w:r w:rsidR="00B66D62">
              <w:rPr>
                <w:rFonts w:ascii="宋体" w:eastAsia="宋体" w:hAnsi="宋体" w:cs="宋体" w:hint="eastAsia"/>
                <w:sz w:val="24"/>
                <w:szCs w:val="24"/>
              </w:rPr>
              <w:t>演示</w:t>
            </w:r>
            <w:r>
              <w:rPr>
                <w:rFonts w:ascii="宋体" w:eastAsia="宋体" w:hAnsi="宋体" w:cs="宋体" w:hint="eastAsia"/>
                <w:sz w:val="24"/>
                <w:szCs w:val="24"/>
              </w:rPr>
              <w:t>视频，由评委酌情打分</w:t>
            </w:r>
            <w:r w:rsidR="00B66D62">
              <w:rPr>
                <w:rFonts w:ascii="宋体" w:eastAsia="宋体" w:hAnsi="宋体" w:cs="宋体" w:hint="eastAsia"/>
                <w:sz w:val="24"/>
                <w:szCs w:val="24"/>
              </w:rPr>
              <w:t>。</w:t>
            </w:r>
            <w:r w:rsidRPr="004768CF">
              <w:rPr>
                <w:rFonts w:ascii="宋体" w:eastAsia="宋体" w:hAnsi="宋体" w:cs="宋体" w:hint="eastAsia"/>
                <w:sz w:val="24"/>
                <w:szCs w:val="24"/>
              </w:rPr>
              <w:t>演示</w:t>
            </w:r>
            <w:r>
              <w:rPr>
                <w:rFonts w:ascii="宋体" w:eastAsia="宋体" w:hAnsi="宋体" w:cs="宋体" w:hint="eastAsia"/>
                <w:sz w:val="24"/>
                <w:szCs w:val="24"/>
              </w:rPr>
              <w:t>视频时间</w:t>
            </w:r>
            <w:r w:rsidRPr="004768CF">
              <w:rPr>
                <w:rFonts w:ascii="宋体" w:eastAsia="宋体" w:hAnsi="宋体" w:cs="宋体" w:hint="eastAsia"/>
                <w:sz w:val="24"/>
                <w:szCs w:val="24"/>
              </w:rPr>
              <w:t>1分钟以内，未完全达到演示要求不得分，不提供演示不得分。</w:t>
            </w:r>
          </w:p>
        </w:tc>
        <w:tc>
          <w:tcPr>
            <w:tcW w:w="1198" w:type="dxa"/>
            <w:vAlign w:val="center"/>
          </w:tcPr>
          <w:p w:rsidR="002C14B2" w:rsidRPr="0076325A" w:rsidRDefault="004768CF" w:rsidP="0076325A">
            <w:pPr>
              <w:ind w:left="-104" w:hanging="2"/>
              <w:jc w:val="center"/>
              <w:rPr>
                <w:rFonts w:ascii="宋体" w:eastAsia="宋体" w:hAnsi="宋体" w:cs="Times New Roman"/>
                <w:sz w:val="24"/>
                <w:szCs w:val="24"/>
              </w:rPr>
            </w:pPr>
            <w:r>
              <w:rPr>
                <w:rFonts w:ascii="宋体" w:eastAsia="宋体" w:hAnsi="宋体" w:cs="Times New Roman" w:hint="eastAsia"/>
                <w:sz w:val="24"/>
                <w:szCs w:val="24"/>
              </w:rPr>
              <w:t>演示视频以加密压缩文件形式发送至1</w:t>
            </w:r>
            <w:r>
              <w:rPr>
                <w:rFonts w:ascii="宋体" w:eastAsia="宋体" w:hAnsi="宋体" w:cs="Times New Roman"/>
                <w:sz w:val="24"/>
                <w:szCs w:val="24"/>
              </w:rPr>
              <w:t>25805001@qq.com</w:t>
            </w:r>
          </w:p>
        </w:tc>
        <w:tc>
          <w:tcPr>
            <w:tcW w:w="1039" w:type="dxa"/>
            <w:vMerge/>
            <w:vAlign w:val="center"/>
          </w:tcPr>
          <w:p w:rsidR="002C14B2" w:rsidRPr="00DD4681" w:rsidRDefault="002C14B2" w:rsidP="00CF2A6A">
            <w:pPr>
              <w:ind w:left="-104" w:hanging="2"/>
              <w:jc w:val="center"/>
              <w:rPr>
                <w:rFonts w:ascii="宋体" w:eastAsia="宋体" w:hAnsi="宋体" w:cs="Times New Roman"/>
                <w:sz w:val="24"/>
                <w:szCs w:val="24"/>
              </w:rPr>
            </w:pPr>
          </w:p>
        </w:tc>
      </w:tr>
      <w:tr w:rsidR="002C14B2" w:rsidRPr="00DD4681" w:rsidTr="004768CF">
        <w:trPr>
          <w:cantSplit/>
          <w:trHeight w:val="718"/>
          <w:jc w:val="center"/>
        </w:trPr>
        <w:tc>
          <w:tcPr>
            <w:tcW w:w="507" w:type="dxa"/>
            <w:vMerge/>
            <w:vAlign w:val="center"/>
          </w:tcPr>
          <w:p w:rsidR="002C14B2" w:rsidRPr="00DD4681" w:rsidRDefault="002C14B2" w:rsidP="00CF2A6A">
            <w:pPr>
              <w:jc w:val="center"/>
              <w:rPr>
                <w:rFonts w:ascii="宋体" w:eastAsia="宋体" w:hAnsi="宋体" w:cs="Times New Roman"/>
                <w:sz w:val="24"/>
                <w:szCs w:val="24"/>
              </w:rPr>
            </w:pPr>
          </w:p>
        </w:tc>
        <w:tc>
          <w:tcPr>
            <w:tcW w:w="1325" w:type="dxa"/>
            <w:vMerge/>
            <w:vAlign w:val="center"/>
          </w:tcPr>
          <w:p w:rsidR="002C14B2" w:rsidRPr="00DD4681" w:rsidRDefault="002C14B2" w:rsidP="00CF2A6A">
            <w:pPr>
              <w:ind w:left="-104" w:hanging="2"/>
              <w:jc w:val="center"/>
              <w:rPr>
                <w:rFonts w:ascii="宋体" w:eastAsia="宋体" w:hAnsi="宋体" w:cs="Times New Roman"/>
                <w:sz w:val="24"/>
                <w:szCs w:val="24"/>
              </w:rPr>
            </w:pPr>
          </w:p>
        </w:tc>
        <w:tc>
          <w:tcPr>
            <w:tcW w:w="746" w:type="dxa"/>
            <w:vAlign w:val="center"/>
          </w:tcPr>
          <w:p w:rsidR="002C14B2" w:rsidRPr="00DD4681" w:rsidRDefault="004768CF" w:rsidP="004768CF">
            <w:pPr>
              <w:spacing w:line="400" w:lineRule="exact"/>
              <w:rPr>
                <w:rFonts w:ascii="宋体" w:eastAsia="宋体" w:hAnsi="宋体" w:cs="Times New Roman"/>
                <w:sz w:val="24"/>
                <w:szCs w:val="24"/>
              </w:rPr>
            </w:pPr>
            <w:r>
              <w:rPr>
                <w:rFonts w:ascii="宋体" w:eastAsia="宋体" w:hAnsi="宋体" w:cs="Times New Roman"/>
                <w:sz w:val="24"/>
                <w:szCs w:val="24"/>
              </w:rPr>
              <w:t>20</w:t>
            </w:r>
            <w:r w:rsidR="002C14B2">
              <w:rPr>
                <w:rFonts w:ascii="宋体" w:eastAsia="宋体" w:hAnsi="宋体" w:cs="Times New Roman" w:hint="eastAsia"/>
                <w:sz w:val="24"/>
                <w:szCs w:val="24"/>
              </w:rPr>
              <w:t>分</w:t>
            </w:r>
          </w:p>
        </w:tc>
        <w:tc>
          <w:tcPr>
            <w:tcW w:w="5245" w:type="dxa"/>
            <w:vAlign w:val="center"/>
          </w:tcPr>
          <w:p w:rsidR="002C14B2" w:rsidRPr="002C14B2" w:rsidRDefault="002C14B2" w:rsidP="00CA6082">
            <w:pPr>
              <w:spacing w:line="400" w:lineRule="exact"/>
              <w:ind w:firstLineChars="100" w:firstLine="240"/>
              <w:rPr>
                <w:rFonts w:ascii="宋体" w:hAnsi="宋体"/>
                <w:color w:val="000000" w:themeColor="text1"/>
                <w:sz w:val="24"/>
                <w:szCs w:val="24"/>
              </w:rPr>
            </w:pPr>
            <w:bookmarkStart w:id="0" w:name="_GoBack"/>
            <w:bookmarkEnd w:id="0"/>
            <w:r w:rsidRPr="002C14B2">
              <w:rPr>
                <w:rFonts w:ascii="宋体" w:hAnsi="宋体" w:hint="eastAsia"/>
                <w:color w:val="000000" w:themeColor="text1"/>
                <w:sz w:val="24"/>
                <w:szCs w:val="24"/>
              </w:rPr>
              <w:t>根据所投产品选型、配置、技术参数等进行综合比较评价，按优劣进行分档打分</w:t>
            </w:r>
          </w:p>
        </w:tc>
        <w:tc>
          <w:tcPr>
            <w:tcW w:w="1198" w:type="dxa"/>
            <w:vAlign w:val="center"/>
          </w:tcPr>
          <w:p w:rsidR="002C14B2" w:rsidRPr="00DD4681" w:rsidRDefault="002C14B2" w:rsidP="00CF2A6A">
            <w:pPr>
              <w:jc w:val="left"/>
              <w:rPr>
                <w:rFonts w:ascii="宋体" w:eastAsia="宋体" w:hAnsi="宋体" w:cs="Times New Roman"/>
                <w:sz w:val="24"/>
                <w:szCs w:val="24"/>
              </w:rPr>
            </w:pPr>
          </w:p>
        </w:tc>
        <w:tc>
          <w:tcPr>
            <w:tcW w:w="1039" w:type="dxa"/>
            <w:vAlign w:val="center"/>
          </w:tcPr>
          <w:p w:rsidR="002C14B2" w:rsidRPr="00DD4681" w:rsidRDefault="002C14B2" w:rsidP="00CF2A6A">
            <w:pPr>
              <w:jc w:val="left"/>
              <w:rPr>
                <w:rFonts w:ascii="宋体" w:eastAsia="宋体" w:hAnsi="宋体" w:cs="Times New Roman"/>
                <w:sz w:val="24"/>
                <w:szCs w:val="24"/>
              </w:rPr>
            </w:pPr>
            <w:r w:rsidRPr="00DD4681">
              <w:rPr>
                <w:rFonts w:ascii="宋体" w:eastAsia="宋体" w:hAnsi="宋体" w:cs="Times New Roman" w:hint="eastAsia"/>
                <w:sz w:val="24"/>
                <w:szCs w:val="24"/>
              </w:rPr>
              <w:t>共同评分因素</w:t>
            </w:r>
          </w:p>
        </w:tc>
      </w:tr>
      <w:tr w:rsidR="00184ABD" w:rsidRPr="00DD4681" w:rsidTr="004768CF">
        <w:trPr>
          <w:cantSplit/>
          <w:trHeight w:val="1966"/>
          <w:jc w:val="center"/>
        </w:trPr>
        <w:tc>
          <w:tcPr>
            <w:tcW w:w="507" w:type="dxa"/>
            <w:vMerge w:val="restart"/>
            <w:vAlign w:val="center"/>
          </w:tcPr>
          <w:p w:rsidR="00184ABD" w:rsidRPr="00DD4681" w:rsidRDefault="00184ABD" w:rsidP="00CF2A6A">
            <w:pPr>
              <w:jc w:val="center"/>
              <w:rPr>
                <w:rFonts w:ascii="宋体" w:eastAsia="宋体" w:hAnsi="宋体" w:cs="Times New Roman"/>
                <w:sz w:val="24"/>
                <w:szCs w:val="24"/>
              </w:rPr>
            </w:pPr>
            <w:r w:rsidRPr="00DD4681">
              <w:rPr>
                <w:rFonts w:ascii="宋体" w:eastAsia="宋体" w:hAnsi="宋体" w:cs="Times New Roman" w:hint="eastAsia"/>
                <w:sz w:val="24"/>
                <w:szCs w:val="24"/>
              </w:rPr>
              <w:t>3</w:t>
            </w:r>
          </w:p>
        </w:tc>
        <w:tc>
          <w:tcPr>
            <w:tcW w:w="1325" w:type="dxa"/>
            <w:vMerge w:val="restart"/>
            <w:vAlign w:val="center"/>
          </w:tcPr>
          <w:p w:rsidR="00184ABD" w:rsidRPr="00DD4681" w:rsidRDefault="00184ABD" w:rsidP="00CF2A6A">
            <w:pPr>
              <w:ind w:left="-104" w:hanging="2"/>
              <w:jc w:val="center"/>
              <w:rPr>
                <w:rFonts w:ascii="宋体" w:eastAsia="宋体" w:hAnsi="宋体" w:cs="Times New Roman"/>
                <w:sz w:val="24"/>
                <w:szCs w:val="24"/>
              </w:rPr>
            </w:pPr>
            <w:r w:rsidRPr="00DD4681">
              <w:rPr>
                <w:rFonts w:ascii="宋体" w:eastAsia="宋体" w:hAnsi="宋体" w:cs="Times New Roman" w:hint="eastAsia"/>
                <w:sz w:val="24"/>
                <w:szCs w:val="24"/>
              </w:rPr>
              <w:t>履约能力</w:t>
            </w:r>
          </w:p>
          <w:p w:rsidR="00184ABD" w:rsidRPr="00DD4681" w:rsidRDefault="002C14B2" w:rsidP="00B66D62">
            <w:pPr>
              <w:ind w:left="-104" w:hanging="2"/>
              <w:jc w:val="center"/>
              <w:rPr>
                <w:rFonts w:ascii="宋体" w:eastAsia="宋体" w:hAnsi="宋体" w:cs="Times New Roman"/>
                <w:sz w:val="24"/>
                <w:szCs w:val="24"/>
              </w:rPr>
            </w:pPr>
            <w:r>
              <w:rPr>
                <w:rFonts w:ascii="宋体" w:eastAsia="宋体" w:hAnsi="宋体" w:cs="Times New Roman" w:hint="eastAsia"/>
                <w:sz w:val="24"/>
                <w:szCs w:val="24"/>
              </w:rPr>
              <w:t>1</w:t>
            </w:r>
            <w:r w:rsidR="00B66D62">
              <w:rPr>
                <w:rFonts w:ascii="宋体" w:eastAsia="宋体" w:hAnsi="宋体" w:cs="Times New Roman" w:hint="eastAsia"/>
                <w:sz w:val="24"/>
                <w:szCs w:val="24"/>
              </w:rPr>
              <w:t>2</w:t>
            </w:r>
            <w:r w:rsidR="00184ABD" w:rsidRPr="00DD4681">
              <w:rPr>
                <w:rFonts w:ascii="宋体" w:eastAsia="宋体" w:hAnsi="宋体" w:cs="Times New Roman" w:hint="eastAsia"/>
                <w:sz w:val="24"/>
                <w:szCs w:val="24"/>
              </w:rPr>
              <w:t>%</w:t>
            </w:r>
          </w:p>
        </w:tc>
        <w:tc>
          <w:tcPr>
            <w:tcW w:w="746" w:type="dxa"/>
            <w:vAlign w:val="center"/>
          </w:tcPr>
          <w:p w:rsidR="004768CF" w:rsidRPr="00DD4681" w:rsidRDefault="004768CF" w:rsidP="004768CF">
            <w:pPr>
              <w:spacing w:line="400" w:lineRule="exact"/>
              <w:ind w:left="-104" w:hanging="2"/>
              <w:jc w:val="center"/>
              <w:rPr>
                <w:rFonts w:ascii="宋体" w:eastAsia="宋体" w:hAnsi="宋体" w:cs="Times New Roman"/>
                <w:sz w:val="24"/>
                <w:szCs w:val="24"/>
              </w:rPr>
            </w:pPr>
            <w:r>
              <w:rPr>
                <w:rFonts w:ascii="宋体" w:eastAsia="宋体" w:hAnsi="宋体" w:cs="Times New Roman" w:hint="eastAsia"/>
                <w:sz w:val="24"/>
                <w:szCs w:val="24"/>
              </w:rPr>
              <w:t>技术能力</w:t>
            </w:r>
          </w:p>
          <w:p w:rsidR="00184ABD" w:rsidRPr="00DD4681" w:rsidRDefault="00B66D62" w:rsidP="004768CF">
            <w:pPr>
              <w:spacing w:line="400" w:lineRule="exact"/>
              <w:ind w:firstLine="28"/>
              <w:rPr>
                <w:rFonts w:ascii="宋体" w:eastAsia="宋体" w:hAnsi="宋体" w:cs="Times New Roman"/>
                <w:sz w:val="24"/>
                <w:szCs w:val="24"/>
              </w:rPr>
            </w:pPr>
            <w:r>
              <w:rPr>
                <w:rFonts w:ascii="宋体" w:eastAsia="宋体" w:hAnsi="宋体" w:cs="Times New Roman" w:hint="eastAsia"/>
                <w:sz w:val="24"/>
                <w:szCs w:val="24"/>
              </w:rPr>
              <w:t>6</w:t>
            </w:r>
            <w:r w:rsidR="00184ABD" w:rsidRPr="00DD4681">
              <w:rPr>
                <w:rFonts w:ascii="宋体" w:eastAsia="宋体" w:hAnsi="宋体" w:cs="Times New Roman" w:hint="eastAsia"/>
                <w:sz w:val="24"/>
                <w:szCs w:val="24"/>
              </w:rPr>
              <w:t>分</w:t>
            </w:r>
          </w:p>
        </w:tc>
        <w:tc>
          <w:tcPr>
            <w:tcW w:w="5245" w:type="dxa"/>
            <w:vAlign w:val="center"/>
          </w:tcPr>
          <w:p w:rsidR="00184ABD" w:rsidRDefault="0076325A" w:rsidP="00CF2A6A">
            <w:pPr>
              <w:widowControl/>
              <w:jc w:val="left"/>
              <w:rPr>
                <w:rFonts w:ascii="宋体" w:eastAsia="宋体" w:hAnsi="宋体" w:cs="Times New Roman"/>
                <w:sz w:val="24"/>
                <w:szCs w:val="24"/>
              </w:rPr>
            </w:pPr>
            <w:r>
              <w:rPr>
                <w:rFonts w:ascii="宋体" w:eastAsia="宋体" w:hAnsi="宋体" w:cs="Times New Roman" w:hint="eastAsia"/>
                <w:sz w:val="24"/>
                <w:szCs w:val="24"/>
              </w:rPr>
              <w:t>1、</w:t>
            </w:r>
            <w:r w:rsidR="00C7450F">
              <w:rPr>
                <w:rFonts w:ascii="宋体" w:eastAsia="宋体" w:hAnsi="宋体" w:cs="Times New Roman" w:hint="eastAsia"/>
                <w:sz w:val="24"/>
                <w:szCs w:val="24"/>
              </w:rPr>
              <w:t>供应商承诺，</w:t>
            </w:r>
            <w:r w:rsidR="00B66D62" w:rsidRPr="00B66D62">
              <w:rPr>
                <w:rFonts w:ascii="宋体" w:eastAsia="宋体" w:hAnsi="宋体" w:cs="Times New Roman" w:hint="eastAsia"/>
                <w:sz w:val="24"/>
                <w:szCs w:val="24"/>
              </w:rPr>
              <w:t>该系统</w:t>
            </w:r>
            <w:r w:rsidR="00B66D62">
              <w:rPr>
                <w:rFonts w:ascii="宋体" w:eastAsia="宋体" w:hAnsi="宋体" w:cs="Times New Roman" w:hint="eastAsia"/>
                <w:sz w:val="24"/>
                <w:szCs w:val="24"/>
              </w:rPr>
              <w:t>软件必须符合全国大学生形态大赛</w:t>
            </w:r>
            <w:r w:rsidR="00B66D62" w:rsidRPr="00B66D62">
              <w:rPr>
                <w:rFonts w:ascii="宋体" w:eastAsia="宋体" w:hAnsi="宋体" w:cs="Times New Roman" w:hint="eastAsia"/>
                <w:sz w:val="24"/>
                <w:szCs w:val="24"/>
              </w:rPr>
              <w:t>要求，提供证明文件</w:t>
            </w:r>
            <w:r>
              <w:rPr>
                <w:rFonts w:ascii="宋体" w:eastAsia="宋体" w:hAnsi="宋体" w:cs="Times New Roman" w:hint="eastAsia"/>
                <w:sz w:val="24"/>
                <w:szCs w:val="24"/>
              </w:rPr>
              <w:t>。得4分。</w:t>
            </w:r>
          </w:p>
          <w:p w:rsidR="0076325A" w:rsidRPr="00DD4681" w:rsidRDefault="0076325A" w:rsidP="00CF2A6A">
            <w:pPr>
              <w:widowControl/>
              <w:jc w:val="left"/>
              <w:rPr>
                <w:rFonts w:ascii="宋体" w:eastAsia="宋体" w:hAnsi="宋体" w:cs="Times New Roman"/>
                <w:kern w:val="0"/>
                <w:sz w:val="24"/>
                <w:szCs w:val="24"/>
              </w:rPr>
            </w:pPr>
            <w:r>
              <w:rPr>
                <w:rFonts w:ascii="宋体" w:eastAsia="宋体" w:hAnsi="宋体" w:cs="Times New Roman" w:hint="eastAsia"/>
                <w:sz w:val="24"/>
                <w:szCs w:val="24"/>
              </w:rPr>
              <w:t>2、提供该软件代理商以及厂商的销售业绩证明，每提供一份得1分，总共2分。</w:t>
            </w:r>
          </w:p>
        </w:tc>
        <w:tc>
          <w:tcPr>
            <w:tcW w:w="1198" w:type="dxa"/>
            <w:vAlign w:val="center"/>
          </w:tcPr>
          <w:p w:rsidR="00184ABD" w:rsidRPr="00DD4681" w:rsidRDefault="00184ABD" w:rsidP="00CF2A6A">
            <w:pPr>
              <w:jc w:val="left"/>
              <w:rPr>
                <w:rFonts w:ascii="宋体" w:eastAsia="宋体" w:hAnsi="宋体" w:cs="Times New Roman"/>
                <w:sz w:val="24"/>
                <w:szCs w:val="24"/>
              </w:rPr>
            </w:pPr>
            <w:r w:rsidRPr="00DD4681">
              <w:rPr>
                <w:rFonts w:ascii="宋体" w:eastAsia="宋体" w:hAnsi="宋体" w:cs="Times New Roman" w:hint="eastAsia"/>
                <w:sz w:val="24"/>
                <w:szCs w:val="24"/>
              </w:rPr>
              <w:t>提供</w:t>
            </w:r>
            <w:r w:rsidR="0076325A">
              <w:rPr>
                <w:rFonts w:ascii="宋体" w:eastAsia="宋体" w:hAnsi="宋体" w:cs="Times New Roman" w:hint="eastAsia"/>
                <w:sz w:val="24"/>
                <w:szCs w:val="24"/>
              </w:rPr>
              <w:t>证明文件原件</w:t>
            </w:r>
            <w:r w:rsidR="00C7450F">
              <w:rPr>
                <w:rFonts w:ascii="宋体" w:eastAsia="宋体" w:hAnsi="宋体" w:cs="Times New Roman" w:hint="eastAsia"/>
                <w:sz w:val="24"/>
                <w:szCs w:val="24"/>
              </w:rPr>
              <w:t>或</w:t>
            </w:r>
            <w:r w:rsidRPr="00DD4681">
              <w:rPr>
                <w:rFonts w:ascii="宋体" w:eastAsia="宋体" w:hAnsi="宋体" w:cs="Times New Roman" w:hint="eastAsia"/>
                <w:sz w:val="24"/>
                <w:szCs w:val="24"/>
              </w:rPr>
              <w:t>复印件加盖鲜章。</w:t>
            </w:r>
          </w:p>
        </w:tc>
        <w:tc>
          <w:tcPr>
            <w:tcW w:w="1039" w:type="dxa"/>
            <w:vMerge w:val="restart"/>
            <w:vAlign w:val="center"/>
          </w:tcPr>
          <w:p w:rsidR="00184ABD" w:rsidRPr="00DD4681" w:rsidRDefault="00184ABD" w:rsidP="00CF2A6A">
            <w:pPr>
              <w:jc w:val="left"/>
              <w:rPr>
                <w:rFonts w:ascii="宋体" w:eastAsia="宋体" w:hAnsi="宋体" w:cs="Times New Roman"/>
                <w:sz w:val="24"/>
                <w:szCs w:val="24"/>
              </w:rPr>
            </w:pPr>
            <w:r w:rsidRPr="00DD4681">
              <w:rPr>
                <w:rFonts w:ascii="宋体" w:eastAsia="宋体" w:hAnsi="宋体" w:cs="Times New Roman" w:hint="eastAsia"/>
                <w:sz w:val="24"/>
                <w:szCs w:val="24"/>
              </w:rPr>
              <w:t>共同评审因素</w:t>
            </w:r>
          </w:p>
        </w:tc>
      </w:tr>
      <w:tr w:rsidR="00184ABD" w:rsidRPr="00DD4681" w:rsidTr="004768CF">
        <w:trPr>
          <w:cantSplit/>
          <w:trHeight w:val="1765"/>
          <w:jc w:val="center"/>
        </w:trPr>
        <w:tc>
          <w:tcPr>
            <w:tcW w:w="507" w:type="dxa"/>
            <w:vMerge/>
            <w:vAlign w:val="center"/>
          </w:tcPr>
          <w:p w:rsidR="00184ABD" w:rsidRPr="00DD4681" w:rsidRDefault="00184ABD" w:rsidP="00CF2A6A">
            <w:pPr>
              <w:jc w:val="center"/>
              <w:rPr>
                <w:rFonts w:ascii="宋体" w:eastAsia="宋体" w:hAnsi="宋体" w:cs="Times New Roman"/>
                <w:sz w:val="24"/>
                <w:szCs w:val="24"/>
              </w:rPr>
            </w:pPr>
          </w:p>
        </w:tc>
        <w:tc>
          <w:tcPr>
            <w:tcW w:w="1325" w:type="dxa"/>
            <w:vMerge/>
            <w:vAlign w:val="center"/>
          </w:tcPr>
          <w:p w:rsidR="00184ABD" w:rsidRPr="00DD4681" w:rsidRDefault="00184ABD" w:rsidP="00CF2A6A">
            <w:pPr>
              <w:ind w:left="-104" w:hanging="2"/>
              <w:jc w:val="center"/>
              <w:rPr>
                <w:rFonts w:ascii="宋体" w:eastAsia="宋体" w:hAnsi="宋体" w:cs="Times New Roman"/>
                <w:sz w:val="24"/>
                <w:szCs w:val="24"/>
              </w:rPr>
            </w:pPr>
          </w:p>
        </w:tc>
        <w:tc>
          <w:tcPr>
            <w:tcW w:w="746" w:type="dxa"/>
            <w:vAlign w:val="center"/>
          </w:tcPr>
          <w:p w:rsidR="00184ABD" w:rsidRPr="00DD4681" w:rsidRDefault="00184ABD" w:rsidP="00CF2A6A">
            <w:pPr>
              <w:spacing w:line="400" w:lineRule="exact"/>
              <w:ind w:left="-104" w:hanging="2"/>
              <w:jc w:val="center"/>
              <w:rPr>
                <w:rFonts w:ascii="宋体" w:eastAsia="宋体" w:hAnsi="宋体" w:cs="Times New Roman"/>
                <w:sz w:val="24"/>
                <w:szCs w:val="24"/>
              </w:rPr>
            </w:pPr>
            <w:r w:rsidRPr="00DD4681">
              <w:rPr>
                <w:rFonts w:ascii="宋体" w:eastAsia="宋体" w:hAnsi="宋体" w:cs="Times New Roman" w:hint="eastAsia"/>
                <w:sz w:val="24"/>
                <w:szCs w:val="24"/>
              </w:rPr>
              <w:t>售后服务</w:t>
            </w:r>
          </w:p>
          <w:p w:rsidR="00184ABD" w:rsidRPr="00DD4681" w:rsidRDefault="00C7450F" w:rsidP="00CF2A6A">
            <w:pPr>
              <w:spacing w:line="400" w:lineRule="exact"/>
              <w:ind w:left="-104" w:hanging="2"/>
              <w:jc w:val="center"/>
              <w:rPr>
                <w:rFonts w:ascii="宋体" w:eastAsia="宋体" w:hAnsi="宋体" w:cs="Times New Roman"/>
                <w:sz w:val="24"/>
                <w:szCs w:val="24"/>
              </w:rPr>
            </w:pPr>
            <w:r>
              <w:rPr>
                <w:rFonts w:ascii="宋体" w:eastAsia="宋体" w:hAnsi="宋体" w:cs="Times New Roman" w:hint="eastAsia"/>
                <w:sz w:val="24"/>
                <w:szCs w:val="24"/>
              </w:rPr>
              <w:t>6</w:t>
            </w:r>
            <w:r w:rsidR="00184ABD" w:rsidRPr="00DD4681">
              <w:rPr>
                <w:rFonts w:ascii="宋体" w:eastAsia="宋体" w:hAnsi="宋体" w:cs="Times New Roman" w:hint="eastAsia"/>
                <w:sz w:val="24"/>
                <w:szCs w:val="24"/>
              </w:rPr>
              <w:t>分</w:t>
            </w:r>
          </w:p>
        </w:tc>
        <w:tc>
          <w:tcPr>
            <w:tcW w:w="5245" w:type="dxa"/>
            <w:vAlign w:val="center"/>
          </w:tcPr>
          <w:p w:rsidR="00184ABD" w:rsidRPr="00DD4681" w:rsidRDefault="00184ABD" w:rsidP="00C7450F">
            <w:pPr>
              <w:widowControl/>
              <w:jc w:val="left"/>
              <w:rPr>
                <w:rFonts w:ascii="宋体" w:eastAsia="宋体" w:hAnsi="宋体" w:cs="Times New Roman"/>
                <w:kern w:val="0"/>
                <w:sz w:val="24"/>
                <w:szCs w:val="24"/>
              </w:rPr>
            </w:pPr>
            <w:r w:rsidRPr="00DD4681">
              <w:rPr>
                <w:rFonts w:ascii="宋体" w:eastAsia="宋体" w:hAnsi="宋体" w:cs="宋体" w:hint="eastAsia"/>
                <w:sz w:val="24"/>
                <w:szCs w:val="24"/>
              </w:rPr>
              <w:t>售后服务方案完善、保证措施（包括售后服务人员配备、应急维修时间承诺、质保承诺</w:t>
            </w:r>
            <w:r w:rsidR="00C7450F">
              <w:rPr>
                <w:rFonts w:ascii="宋体" w:eastAsia="宋体" w:hAnsi="宋体" w:cs="宋体" w:hint="eastAsia"/>
                <w:sz w:val="24"/>
                <w:szCs w:val="24"/>
              </w:rPr>
              <w:t>、交货时间</w:t>
            </w:r>
            <w:r w:rsidRPr="00DD4681">
              <w:rPr>
                <w:rFonts w:ascii="宋体" w:eastAsia="宋体" w:hAnsi="宋体" w:cs="宋体" w:hint="eastAsia"/>
                <w:sz w:val="24"/>
                <w:szCs w:val="24"/>
              </w:rPr>
              <w:t>以及其它服务承诺）进行综合评比，</w:t>
            </w:r>
            <w:r w:rsidRPr="00DD4681">
              <w:rPr>
                <w:rFonts w:ascii="宋体" w:eastAsia="宋体" w:hAnsi="宋体" w:cs="Times New Roman" w:hint="eastAsia"/>
                <w:sz w:val="24"/>
                <w:szCs w:val="24"/>
              </w:rPr>
              <w:t>满足招标文件要求得</w:t>
            </w:r>
            <w:r w:rsidR="00C7450F">
              <w:rPr>
                <w:rFonts w:ascii="宋体" w:eastAsia="宋体" w:hAnsi="宋体" w:cs="Times New Roman" w:hint="eastAsia"/>
                <w:sz w:val="24"/>
                <w:szCs w:val="24"/>
              </w:rPr>
              <w:t>6</w:t>
            </w:r>
            <w:r w:rsidRPr="00DD4681">
              <w:rPr>
                <w:rFonts w:ascii="宋体" w:eastAsia="宋体" w:hAnsi="宋体" w:cs="Times New Roman" w:hint="eastAsia"/>
                <w:sz w:val="24"/>
                <w:szCs w:val="24"/>
              </w:rPr>
              <w:t>分，若评审小组认定投标人响应内容有缺少或缺陷方案不符合项目要求的1项扣2分，扣完为止；未提供的不得分。</w:t>
            </w:r>
          </w:p>
        </w:tc>
        <w:tc>
          <w:tcPr>
            <w:tcW w:w="1198" w:type="dxa"/>
            <w:vAlign w:val="center"/>
          </w:tcPr>
          <w:p w:rsidR="00184ABD" w:rsidRPr="00DD4681" w:rsidRDefault="00184ABD" w:rsidP="00CF2A6A">
            <w:pPr>
              <w:ind w:left="-104" w:hanging="2"/>
              <w:jc w:val="left"/>
              <w:rPr>
                <w:rFonts w:ascii="宋体" w:eastAsia="宋体" w:hAnsi="宋体" w:cs="Times New Roman"/>
                <w:sz w:val="24"/>
                <w:szCs w:val="24"/>
              </w:rPr>
            </w:pPr>
          </w:p>
        </w:tc>
        <w:tc>
          <w:tcPr>
            <w:tcW w:w="1039" w:type="dxa"/>
            <w:vMerge/>
            <w:vAlign w:val="center"/>
          </w:tcPr>
          <w:p w:rsidR="00184ABD" w:rsidRPr="00DD4681" w:rsidRDefault="00184ABD" w:rsidP="00CF2A6A">
            <w:pPr>
              <w:ind w:left="-104" w:hanging="2"/>
              <w:jc w:val="left"/>
              <w:rPr>
                <w:rFonts w:ascii="宋体" w:eastAsia="宋体" w:hAnsi="宋体" w:cs="Times New Roman"/>
                <w:sz w:val="24"/>
                <w:szCs w:val="24"/>
              </w:rPr>
            </w:pPr>
          </w:p>
        </w:tc>
      </w:tr>
      <w:tr w:rsidR="00184ABD" w:rsidRPr="00DD4681" w:rsidTr="004768CF">
        <w:trPr>
          <w:cantSplit/>
          <w:trHeight w:val="1037"/>
          <w:jc w:val="center"/>
        </w:trPr>
        <w:tc>
          <w:tcPr>
            <w:tcW w:w="507" w:type="dxa"/>
            <w:vAlign w:val="center"/>
          </w:tcPr>
          <w:p w:rsidR="00184ABD" w:rsidRPr="00DD4681" w:rsidRDefault="00184ABD" w:rsidP="00CF2A6A">
            <w:pPr>
              <w:jc w:val="center"/>
              <w:rPr>
                <w:rFonts w:ascii="宋体" w:eastAsia="宋体" w:hAnsi="宋体" w:cs="Times New Roman"/>
                <w:sz w:val="24"/>
                <w:szCs w:val="24"/>
              </w:rPr>
            </w:pPr>
            <w:r w:rsidRPr="00DD4681">
              <w:rPr>
                <w:rFonts w:ascii="宋体" w:eastAsia="宋体" w:hAnsi="宋体" w:cs="Times New Roman" w:hint="eastAsia"/>
                <w:sz w:val="24"/>
                <w:szCs w:val="24"/>
              </w:rPr>
              <w:t>4</w:t>
            </w:r>
          </w:p>
        </w:tc>
        <w:tc>
          <w:tcPr>
            <w:tcW w:w="1325" w:type="dxa"/>
            <w:vAlign w:val="center"/>
          </w:tcPr>
          <w:p w:rsidR="00184ABD" w:rsidRPr="00DD4681" w:rsidRDefault="00184ABD" w:rsidP="002C14B2">
            <w:pPr>
              <w:jc w:val="center"/>
              <w:rPr>
                <w:rFonts w:ascii="宋体" w:eastAsia="宋体" w:hAnsi="宋体" w:cs="Times New Roman"/>
                <w:sz w:val="24"/>
                <w:szCs w:val="24"/>
              </w:rPr>
            </w:pPr>
            <w:r w:rsidRPr="00DD4681">
              <w:rPr>
                <w:rFonts w:ascii="宋体" w:eastAsia="宋体" w:hAnsi="宋体" w:cs="Times New Roman" w:hint="eastAsia"/>
                <w:sz w:val="24"/>
                <w:szCs w:val="24"/>
              </w:rPr>
              <w:t>投标文件的规范性</w:t>
            </w:r>
            <w:r w:rsidR="002C14B2">
              <w:rPr>
                <w:rFonts w:ascii="宋体" w:eastAsia="宋体" w:hAnsi="宋体" w:cs="Times New Roman" w:hint="eastAsia"/>
                <w:sz w:val="24"/>
                <w:szCs w:val="24"/>
              </w:rPr>
              <w:t>3</w:t>
            </w:r>
            <w:r w:rsidRPr="00DD4681">
              <w:rPr>
                <w:rFonts w:ascii="宋体" w:eastAsia="宋体" w:hAnsi="宋体" w:cs="Times New Roman" w:hint="eastAsia"/>
                <w:sz w:val="24"/>
                <w:szCs w:val="24"/>
              </w:rPr>
              <w:t>%</w:t>
            </w:r>
          </w:p>
        </w:tc>
        <w:tc>
          <w:tcPr>
            <w:tcW w:w="746" w:type="dxa"/>
            <w:vAlign w:val="center"/>
          </w:tcPr>
          <w:p w:rsidR="00184ABD" w:rsidRPr="00DD4681" w:rsidRDefault="0032137B" w:rsidP="00CF2A6A">
            <w:pPr>
              <w:jc w:val="center"/>
              <w:rPr>
                <w:rFonts w:ascii="宋体" w:eastAsia="宋体" w:hAnsi="宋体" w:cs="Times New Roman"/>
                <w:sz w:val="24"/>
                <w:szCs w:val="24"/>
              </w:rPr>
            </w:pPr>
            <w:r>
              <w:rPr>
                <w:rFonts w:ascii="宋体" w:eastAsia="宋体" w:hAnsi="宋体" w:cs="Times New Roman" w:hint="eastAsia"/>
                <w:sz w:val="24"/>
                <w:szCs w:val="24"/>
              </w:rPr>
              <w:t>3</w:t>
            </w:r>
            <w:r w:rsidR="00184ABD" w:rsidRPr="00DD4681">
              <w:rPr>
                <w:rFonts w:ascii="宋体" w:eastAsia="宋体" w:hAnsi="宋体" w:cs="Times New Roman" w:hint="eastAsia"/>
                <w:sz w:val="24"/>
                <w:szCs w:val="24"/>
              </w:rPr>
              <w:t>分</w:t>
            </w:r>
          </w:p>
        </w:tc>
        <w:tc>
          <w:tcPr>
            <w:tcW w:w="5245" w:type="dxa"/>
            <w:vAlign w:val="center"/>
          </w:tcPr>
          <w:p w:rsidR="00184ABD" w:rsidRPr="00DD4681" w:rsidRDefault="00184ABD" w:rsidP="002C14B2">
            <w:pPr>
              <w:jc w:val="left"/>
              <w:rPr>
                <w:rFonts w:ascii="宋体" w:eastAsia="宋体" w:hAnsi="宋体" w:cs="Times New Roman"/>
                <w:sz w:val="24"/>
                <w:szCs w:val="24"/>
              </w:rPr>
            </w:pPr>
            <w:r w:rsidRPr="00DD4681">
              <w:rPr>
                <w:rFonts w:ascii="宋体" w:eastAsia="宋体" w:hAnsi="宋体" w:cs="Times New Roman" w:hint="eastAsia"/>
                <w:sz w:val="24"/>
                <w:szCs w:val="24"/>
              </w:rPr>
              <w:t>响应文件制作规范，没有细微偏差情形的得</w:t>
            </w:r>
            <w:r w:rsidR="002C14B2">
              <w:rPr>
                <w:rFonts w:ascii="宋体" w:eastAsia="宋体" w:hAnsi="宋体" w:cs="Times New Roman" w:hint="eastAsia"/>
                <w:sz w:val="24"/>
                <w:szCs w:val="24"/>
              </w:rPr>
              <w:t>3</w:t>
            </w:r>
            <w:r w:rsidRPr="00DD4681">
              <w:rPr>
                <w:rFonts w:ascii="宋体" w:eastAsia="宋体" w:hAnsi="宋体" w:cs="Times New Roman" w:hint="eastAsia"/>
                <w:sz w:val="24"/>
                <w:szCs w:val="24"/>
              </w:rPr>
              <w:t>分；有一项细微偏差扣1分，直至该项分值扣完为止。</w:t>
            </w:r>
          </w:p>
        </w:tc>
        <w:tc>
          <w:tcPr>
            <w:tcW w:w="1198" w:type="dxa"/>
            <w:vAlign w:val="center"/>
          </w:tcPr>
          <w:p w:rsidR="00184ABD" w:rsidRPr="00DD4681" w:rsidRDefault="00184ABD" w:rsidP="00CF2A6A">
            <w:pPr>
              <w:jc w:val="left"/>
              <w:rPr>
                <w:rFonts w:ascii="宋体" w:eastAsia="宋体" w:hAnsi="宋体" w:cs="Times New Roman"/>
                <w:sz w:val="24"/>
                <w:szCs w:val="24"/>
              </w:rPr>
            </w:pPr>
          </w:p>
        </w:tc>
        <w:tc>
          <w:tcPr>
            <w:tcW w:w="1039" w:type="dxa"/>
            <w:vAlign w:val="center"/>
          </w:tcPr>
          <w:p w:rsidR="00184ABD" w:rsidRPr="00DD4681" w:rsidRDefault="00184ABD" w:rsidP="00CF2A6A">
            <w:pPr>
              <w:jc w:val="left"/>
              <w:rPr>
                <w:rFonts w:ascii="宋体" w:eastAsia="宋体" w:hAnsi="宋体" w:cs="Times New Roman"/>
                <w:sz w:val="24"/>
                <w:szCs w:val="24"/>
              </w:rPr>
            </w:pPr>
            <w:r w:rsidRPr="00DD4681">
              <w:rPr>
                <w:rFonts w:ascii="宋体" w:eastAsia="宋体" w:hAnsi="宋体" w:cs="Times New Roman" w:hint="eastAsia"/>
                <w:sz w:val="24"/>
                <w:szCs w:val="24"/>
              </w:rPr>
              <w:t>共同评分因素</w:t>
            </w:r>
          </w:p>
        </w:tc>
      </w:tr>
    </w:tbl>
    <w:p w:rsidR="00570095" w:rsidRDefault="00570095"/>
    <w:sectPr w:rsidR="005700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AA9" w:rsidRDefault="00686AA9" w:rsidP="00184ABD">
      <w:r>
        <w:separator/>
      </w:r>
    </w:p>
  </w:endnote>
  <w:endnote w:type="continuationSeparator" w:id="0">
    <w:p w:rsidR="00686AA9" w:rsidRDefault="00686AA9" w:rsidP="0018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AA9" w:rsidRDefault="00686AA9" w:rsidP="00184ABD">
      <w:r>
        <w:separator/>
      </w:r>
    </w:p>
  </w:footnote>
  <w:footnote w:type="continuationSeparator" w:id="0">
    <w:p w:rsidR="00686AA9" w:rsidRDefault="00686AA9" w:rsidP="00184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FCC"/>
    <w:rsid w:val="00145F9A"/>
    <w:rsid w:val="00184ABD"/>
    <w:rsid w:val="00283FCC"/>
    <w:rsid w:val="002C14B2"/>
    <w:rsid w:val="0032137B"/>
    <w:rsid w:val="004768CF"/>
    <w:rsid w:val="00570095"/>
    <w:rsid w:val="005F4A39"/>
    <w:rsid w:val="00686AA9"/>
    <w:rsid w:val="0076325A"/>
    <w:rsid w:val="00983618"/>
    <w:rsid w:val="00AF2F05"/>
    <w:rsid w:val="00B66D62"/>
    <w:rsid w:val="00B73D5F"/>
    <w:rsid w:val="00C047D6"/>
    <w:rsid w:val="00C36008"/>
    <w:rsid w:val="00C7450F"/>
    <w:rsid w:val="00CA1257"/>
    <w:rsid w:val="00CA6082"/>
    <w:rsid w:val="00CF2A6A"/>
    <w:rsid w:val="00E51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C57C2"/>
  <w15:docId w15:val="{3EC7E134-F9BB-4AE1-86FC-3BF4A271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A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A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4ABD"/>
    <w:rPr>
      <w:sz w:val="18"/>
      <w:szCs w:val="18"/>
    </w:rPr>
  </w:style>
  <w:style w:type="paragraph" w:styleId="a5">
    <w:name w:val="footer"/>
    <w:basedOn w:val="a"/>
    <w:link w:val="a6"/>
    <w:uiPriority w:val="99"/>
    <w:unhideWhenUsed/>
    <w:rsid w:val="00184ABD"/>
    <w:pPr>
      <w:tabs>
        <w:tab w:val="center" w:pos="4153"/>
        <w:tab w:val="right" w:pos="8306"/>
      </w:tabs>
      <w:snapToGrid w:val="0"/>
      <w:jc w:val="left"/>
    </w:pPr>
    <w:rPr>
      <w:sz w:val="18"/>
      <w:szCs w:val="18"/>
    </w:rPr>
  </w:style>
  <w:style w:type="character" w:customStyle="1" w:styleId="a6">
    <w:name w:val="页脚 字符"/>
    <w:basedOn w:val="a0"/>
    <w:link w:val="a5"/>
    <w:uiPriority w:val="99"/>
    <w:rsid w:val="00184A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97</Words>
  <Characters>555</Characters>
  <Application>Microsoft Office Word</Application>
  <DocSecurity>0</DocSecurity>
  <Lines>4</Lines>
  <Paragraphs>1</Paragraphs>
  <ScaleCrop>false</ScaleCrop>
  <Company>Home</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5</cp:revision>
  <dcterms:created xsi:type="dcterms:W3CDTF">2021-02-18T09:20:00Z</dcterms:created>
  <dcterms:modified xsi:type="dcterms:W3CDTF">2021-02-19T16:41:00Z</dcterms:modified>
</cp:coreProperties>
</file>